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25398" w:rsidRDefault="00925398">
      <w:pPr>
        <w:pStyle w:val="Heading1"/>
        <w:pBdr>
          <w:bottom w:val="single" w:sz="4" w:space="1" w:color="auto"/>
        </w:pBdr>
      </w:pPr>
      <w:r w:rsidRPr="00925398">
        <w:t xml:space="preserve">From “Body Rituals </w:t>
      </w:r>
      <w:proofErr w:type="gramStart"/>
      <w:r w:rsidRPr="00925398">
        <w:t>Among</w:t>
      </w:r>
      <w:proofErr w:type="gramEnd"/>
      <w:r w:rsidRPr="00925398">
        <w:t xml:space="preserve"> the </w:t>
      </w:r>
      <w:proofErr w:type="spellStart"/>
      <w:r w:rsidRPr="00925398">
        <w:t>Nacirema</w:t>
      </w:r>
      <w:proofErr w:type="spellEnd"/>
      <w:r w:rsidRPr="00925398">
        <w:t>” by Horace Miner</w:t>
      </w:r>
    </w:p>
    <w:p w:rsidR="00000000" w:rsidRDefault="00925398">
      <w:pPr>
        <w:ind w:firstLine="720"/>
      </w:pPr>
    </w:p>
    <w:p w:rsidR="00000000" w:rsidRDefault="00925398">
      <w:pPr>
        <w:spacing w:line="480" w:lineRule="auto"/>
        <w:ind w:firstLine="720"/>
        <w:jc w:val="both"/>
        <w:rPr>
          <w:sz w:val="21"/>
        </w:rPr>
      </w:pPr>
      <w:r>
        <w:rPr>
          <w:sz w:val="21"/>
        </w:rPr>
        <w:t>The anthropologist has become so familiar with the diversity of ways in which different peoples behave in similar situations that he is not apt to be surprised by even the most exotic customs. In fact</w:t>
      </w:r>
      <w:r>
        <w:rPr>
          <w:sz w:val="21"/>
        </w:rPr>
        <w:t xml:space="preserve">, if all of the logically possible combinations of behavior have not been found somewhere in the world, he is apt to suspect that they must be present in some yet </w:t>
      </w:r>
      <w:proofErr w:type="spellStart"/>
      <w:r>
        <w:rPr>
          <w:sz w:val="21"/>
        </w:rPr>
        <w:t>undescribed</w:t>
      </w:r>
      <w:proofErr w:type="spellEnd"/>
      <w:r>
        <w:rPr>
          <w:sz w:val="21"/>
        </w:rPr>
        <w:t xml:space="preserve"> tribe. This point has, in fact, been expressed with respect to clan organization </w:t>
      </w:r>
      <w:r>
        <w:rPr>
          <w:sz w:val="21"/>
        </w:rPr>
        <w:t xml:space="preserve">by Murdock (1949:71). In this light, the magical beliefs and practices of the </w:t>
      </w:r>
      <w:proofErr w:type="spellStart"/>
      <w:r>
        <w:rPr>
          <w:sz w:val="21"/>
        </w:rPr>
        <w:t>Nacirema</w:t>
      </w:r>
      <w:proofErr w:type="spellEnd"/>
      <w:r>
        <w:rPr>
          <w:sz w:val="21"/>
        </w:rPr>
        <w:t xml:space="preserve"> present such unusual aspects that is seems desirable to describe them as an example of the extremes to which human behavior can go. </w:t>
      </w:r>
    </w:p>
    <w:p w:rsidR="00000000" w:rsidRDefault="00925398">
      <w:pPr>
        <w:pStyle w:val="BodyTextIndent"/>
        <w:spacing w:line="480" w:lineRule="auto"/>
        <w:jc w:val="both"/>
        <w:rPr>
          <w:sz w:val="21"/>
        </w:rPr>
      </w:pPr>
      <w:r>
        <w:rPr>
          <w:sz w:val="21"/>
        </w:rPr>
        <w:t>Professor Linton first brought the r</w:t>
      </w:r>
      <w:r>
        <w:rPr>
          <w:sz w:val="21"/>
        </w:rPr>
        <w:t xml:space="preserve">itual of the </w:t>
      </w:r>
      <w:proofErr w:type="spellStart"/>
      <w:r>
        <w:rPr>
          <w:sz w:val="21"/>
        </w:rPr>
        <w:t>Nacirema</w:t>
      </w:r>
      <w:proofErr w:type="spellEnd"/>
      <w:r>
        <w:rPr>
          <w:sz w:val="21"/>
        </w:rPr>
        <w:t xml:space="preserve"> to the attention of anthropologists twenty years ago (1936:326), but the culture of this people is still very poorly understood. They are a North American group living in the territory between the Canadian Cree, the Yaqui and </w:t>
      </w:r>
      <w:proofErr w:type="spellStart"/>
      <w:r>
        <w:rPr>
          <w:sz w:val="21"/>
        </w:rPr>
        <w:t>Tarahuma</w:t>
      </w:r>
      <w:r>
        <w:rPr>
          <w:sz w:val="21"/>
        </w:rPr>
        <w:t>re</w:t>
      </w:r>
      <w:proofErr w:type="spellEnd"/>
      <w:r>
        <w:rPr>
          <w:sz w:val="21"/>
        </w:rPr>
        <w:t xml:space="preserve"> of Mexico, and the </w:t>
      </w:r>
      <w:proofErr w:type="spellStart"/>
      <w:r>
        <w:rPr>
          <w:sz w:val="21"/>
        </w:rPr>
        <w:t>Carib</w:t>
      </w:r>
      <w:proofErr w:type="spellEnd"/>
      <w:r>
        <w:rPr>
          <w:sz w:val="21"/>
        </w:rPr>
        <w:t xml:space="preserve"> and </w:t>
      </w:r>
      <w:proofErr w:type="spellStart"/>
      <w:r>
        <w:rPr>
          <w:sz w:val="21"/>
        </w:rPr>
        <w:t>Arawak</w:t>
      </w:r>
      <w:proofErr w:type="spellEnd"/>
      <w:r>
        <w:rPr>
          <w:sz w:val="21"/>
        </w:rPr>
        <w:t xml:space="preserve"> of the Antilles. Little is known of their origin, though tradition states that they came from the east. According to </w:t>
      </w:r>
      <w:proofErr w:type="spellStart"/>
      <w:r>
        <w:rPr>
          <w:sz w:val="21"/>
        </w:rPr>
        <w:t>Nacirema</w:t>
      </w:r>
      <w:proofErr w:type="spellEnd"/>
      <w:r>
        <w:rPr>
          <w:sz w:val="21"/>
        </w:rPr>
        <w:t xml:space="preserve"> mythology, their nation was originated by a culture hero, </w:t>
      </w:r>
      <w:proofErr w:type="spellStart"/>
      <w:r>
        <w:rPr>
          <w:sz w:val="21"/>
        </w:rPr>
        <w:t>Notgnishaw</w:t>
      </w:r>
      <w:proofErr w:type="spellEnd"/>
      <w:r>
        <w:rPr>
          <w:sz w:val="21"/>
        </w:rPr>
        <w:t>, who is otherwise know</w:t>
      </w:r>
      <w:r>
        <w:rPr>
          <w:sz w:val="21"/>
        </w:rPr>
        <w:t>n for two great feats of strength – the throwing of a piece of wampum across the river Po-To-Mac and the chopping down of a cherry tree in which the Spirit of Truth resided.</w:t>
      </w:r>
    </w:p>
    <w:p w:rsidR="00000000" w:rsidRDefault="00925398">
      <w:pPr>
        <w:spacing w:line="480" w:lineRule="auto"/>
        <w:ind w:firstLine="720"/>
        <w:jc w:val="both"/>
        <w:rPr>
          <w:sz w:val="21"/>
        </w:rPr>
      </w:pPr>
      <w:proofErr w:type="spellStart"/>
      <w:r>
        <w:rPr>
          <w:sz w:val="21"/>
        </w:rPr>
        <w:t>Nacirema</w:t>
      </w:r>
      <w:proofErr w:type="spellEnd"/>
      <w:r>
        <w:rPr>
          <w:sz w:val="21"/>
        </w:rPr>
        <w:t xml:space="preserve"> culture is characterized by a highly developed market economy which has e</w:t>
      </w:r>
      <w:r>
        <w:rPr>
          <w:sz w:val="21"/>
        </w:rPr>
        <w:t xml:space="preserve">volved </w:t>
      </w:r>
      <w:proofErr w:type="gramStart"/>
      <w:r>
        <w:rPr>
          <w:sz w:val="21"/>
        </w:rPr>
        <w:t>in</w:t>
      </w:r>
      <w:proofErr w:type="gramEnd"/>
      <w:r>
        <w:rPr>
          <w:sz w:val="21"/>
        </w:rPr>
        <w:t xml:space="preserve"> a rich natural habitat. While much of the people’s time is devoted to economic pursuits, a large part of the fruits of these labors and a considerable portion of the day are spent in ritual activity. The focus of this activity is the human body, </w:t>
      </w:r>
      <w:r>
        <w:rPr>
          <w:sz w:val="21"/>
        </w:rPr>
        <w:t>the appearance and health of which loom as a dominant concern in the ethos of the people. While such a concern is certainly not unusual, its ceremonial aspects and associated philosophy are unique.</w:t>
      </w:r>
    </w:p>
    <w:p w:rsidR="00000000" w:rsidRDefault="00925398">
      <w:pPr>
        <w:spacing w:line="480" w:lineRule="auto"/>
        <w:ind w:firstLine="720"/>
        <w:jc w:val="both"/>
        <w:rPr>
          <w:sz w:val="21"/>
        </w:rPr>
      </w:pPr>
      <w:r>
        <w:rPr>
          <w:sz w:val="21"/>
        </w:rPr>
        <w:t>The fundamental belief underlying the whole system appears</w:t>
      </w:r>
      <w:r>
        <w:rPr>
          <w:sz w:val="21"/>
        </w:rPr>
        <w:t xml:space="preserve"> to be that the human body is ugly and that its natural tendency is to debility and disease. Incarcerated in such a body, man’s only hope is to avert these characteristics through the use of the powerful influences of ritual and ceremony. Every household h</w:t>
      </w:r>
      <w:r>
        <w:rPr>
          <w:sz w:val="21"/>
        </w:rPr>
        <w:t xml:space="preserve">as one or more shrines devoted to this purpose. The more powerful </w:t>
      </w:r>
      <w:r>
        <w:rPr>
          <w:sz w:val="21"/>
        </w:rPr>
        <w:lastRenderedPageBreak/>
        <w:t>individuals in the society have several shrines in their houses and, in fact, the opulence of a house is often referred to in terms of the number of such ritual centers it possesses….</w:t>
      </w:r>
    </w:p>
    <w:p w:rsidR="00000000" w:rsidRDefault="00925398">
      <w:pPr>
        <w:spacing w:line="480" w:lineRule="auto"/>
        <w:ind w:firstLine="720"/>
        <w:jc w:val="both"/>
        <w:rPr>
          <w:sz w:val="21"/>
        </w:rPr>
      </w:pPr>
      <w:r>
        <w:rPr>
          <w:sz w:val="21"/>
        </w:rPr>
        <w:t xml:space="preserve">….The </w:t>
      </w:r>
      <w:r>
        <w:rPr>
          <w:sz w:val="21"/>
        </w:rPr>
        <w:t>focal point of the shrine is a box or chest which is built into the wall. In this chest are kept the many charms and magical potions without which no native believes he could live. These preparations are secured from a variety of specialized practitioners.</w:t>
      </w:r>
      <w:r>
        <w:rPr>
          <w:sz w:val="21"/>
        </w:rPr>
        <w:t xml:space="preserve"> The most powerful of these are the medicine men, whose assistance must be rewarded with substantial gifts. However, the medicine men do not provide the curative potions for their clients, but decide what the ingredients should be and then write them down </w:t>
      </w:r>
      <w:r>
        <w:rPr>
          <w:sz w:val="21"/>
        </w:rPr>
        <w:t>in an ancient and secret language. This writing is understood only by the medicine men and by the herbalists who, for another gift, provide the required charm….</w:t>
      </w:r>
    </w:p>
    <w:p w:rsidR="00000000" w:rsidRDefault="00925398">
      <w:pPr>
        <w:spacing w:line="480" w:lineRule="auto"/>
        <w:ind w:firstLine="720"/>
        <w:jc w:val="both"/>
        <w:rPr>
          <w:sz w:val="21"/>
        </w:rPr>
      </w:pPr>
      <w:r>
        <w:rPr>
          <w:sz w:val="21"/>
        </w:rPr>
        <w:t xml:space="preserve">….The </w:t>
      </w:r>
      <w:proofErr w:type="spellStart"/>
      <w:r>
        <w:rPr>
          <w:sz w:val="21"/>
        </w:rPr>
        <w:t>Nacirema</w:t>
      </w:r>
      <w:proofErr w:type="spellEnd"/>
      <w:r>
        <w:rPr>
          <w:sz w:val="21"/>
        </w:rPr>
        <w:t xml:space="preserve"> have an almost pathological horror and fascination with the mouth, the condition</w:t>
      </w:r>
      <w:r>
        <w:rPr>
          <w:sz w:val="21"/>
        </w:rPr>
        <w:t xml:space="preserve"> of which is believed to have a supernatural influence on all social relationships. Were it not for the rituals of the mouth, they believe that their teeth would fall out, their gums bleed, their jaws shrink, their friends desert them, and their lovers rej</w:t>
      </w:r>
      <w:r>
        <w:rPr>
          <w:sz w:val="21"/>
        </w:rPr>
        <w:t>ect them…[T]he people seek out a holy-mouth-man once or twice a year. These practitioners have an impressive set of paraphernalia, consisting of a variety of augers, awls, probes, and probs. The use of these objects in the exorcism of the evils of the mout</w:t>
      </w:r>
      <w:r>
        <w:rPr>
          <w:sz w:val="21"/>
        </w:rPr>
        <w:t>h involves almost unbelievable ritual torture of the client. The holy-mouth-man opens the client’s mouth and, using the above mentioned tools, enlarges any holes which decay may have created in the teeth. Magical materials are put into these holes….</w:t>
      </w:r>
    </w:p>
    <w:p w:rsidR="00000000" w:rsidRDefault="00925398">
      <w:pPr>
        <w:pStyle w:val="BodyTextIndent2"/>
        <w:rPr>
          <w:sz w:val="21"/>
        </w:rPr>
      </w:pPr>
      <w:r>
        <w:rPr>
          <w:sz w:val="21"/>
        </w:rPr>
        <w:t>….Ther</w:t>
      </w:r>
      <w:r>
        <w:rPr>
          <w:sz w:val="21"/>
        </w:rPr>
        <w:t xml:space="preserve">e remains one other kind of practitioner, known as a “listener.” This witch-doctor has the power to exorcise the devils that lodge in the heads of people who have been bewitched. The </w:t>
      </w:r>
      <w:proofErr w:type="spellStart"/>
      <w:r>
        <w:rPr>
          <w:sz w:val="21"/>
        </w:rPr>
        <w:t>Nacirema</w:t>
      </w:r>
      <w:proofErr w:type="spellEnd"/>
      <w:r>
        <w:rPr>
          <w:sz w:val="21"/>
        </w:rPr>
        <w:t xml:space="preserve"> believe that parents bewitch their own children. Mothers are par</w:t>
      </w:r>
      <w:r>
        <w:rPr>
          <w:sz w:val="21"/>
        </w:rPr>
        <w:t>ticularly suspected of putting a curse on children while teaching them the secret body rituals. The counter-magic of the witch-doctor is unusual in its lack of ritual. The patient simply tells the “listener” all his troubles and fears, beginning with the e</w:t>
      </w:r>
      <w:r>
        <w:rPr>
          <w:sz w:val="21"/>
        </w:rPr>
        <w:t>arliest difficulties he can remember….</w:t>
      </w:r>
    </w:p>
    <w:p w:rsidR="00000000" w:rsidRDefault="00925398">
      <w:pPr>
        <w:spacing w:line="480" w:lineRule="auto"/>
        <w:ind w:firstLine="720"/>
        <w:jc w:val="both"/>
        <w:rPr>
          <w:sz w:val="22"/>
        </w:rPr>
      </w:pPr>
      <w:r>
        <w:rPr>
          <w:sz w:val="21"/>
        </w:rPr>
        <w:t xml:space="preserve">….Our review of the ritual life of the </w:t>
      </w:r>
      <w:proofErr w:type="spellStart"/>
      <w:r>
        <w:rPr>
          <w:sz w:val="21"/>
        </w:rPr>
        <w:t>Nacirema</w:t>
      </w:r>
      <w:proofErr w:type="spellEnd"/>
      <w:r>
        <w:rPr>
          <w:sz w:val="21"/>
        </w:rPr>
        <w:t xml:space="preserve"> has certainly shown them to be a magic-ridden people. It is hard to understand how they have managed to exist so long under the burdens which they have imposed upon them</w:t>
      </w:r>
      <w:r>
        <w:rPr>
          <w:sz w:val="21"/>
        </w:rPr>
        <w:t>selves</w:t>
      </w:r>
      <w:r>
        <w:rPr>
          <w:sz w:val="22"/>
        </w:rPr>
        <w:t>…</w:t>
      </w:r>
    </w:p>
    <w:p w:rsidR="00925398" w:rsidRPr="00925398" w:rsidRDefault="00925398" w:rsidP="00925398">
      <w:pPr>
        <w:spacing w:line="480" w:lineRule="auto"/>
        <w:ind w:left="-720"/>
        <w:jc w:val="center"/>
        <w:rPr>
          <w:rFonts w:asciiTheme="minorHAnsi" w:hAnsiTheme="minorHAnsi"/>
          <w:b/>
          <w:sz w:val="28"/>
          <w:szCs w:val="22"/>
        </w:rPr>
      </w:pPr>
      <w:r w:rsidRPr="00925398">
        <w:rPr>
          <w:rFonts w:asciiTheme="minorHAnsi" w:hAnsiTheme="minorHAnsi"/>
          <w:b/>
          <w:sz w:val="28"/>
          <w:szCs w:val="22"/>
        </w:rPr>
        <w:lastRenderedPageBreak/>
        <w:t xml:space="preserve">The </w:t>
      </w:r>
      <w:proofErr w:type="spellStart"/>
      <w:r w:rsidRPr="00925398">
        <w:rPr>
          <w:rFonts w:asciiTheme="minorHAnsi" w:hAnsiTheme="minorHAnsi"/>
          <w:b/>
          <w:sz w:val="28"/>
          <w:szCs w:val="22"/>
        </w:rPr>
        <w:t>Nacirema</w:t>
      </w:r>
      <w:proofErr w:type="spellEnd"/>
      <w:r w:rsidRPr="00925398">
        <w:rPr>
          <w:rFonts w:asciiTheme="minorHAnsi" w:hAnsiTheme="minorHAnsi"/>
          <w:b/>
          <w:sz w:val="28"/>
          <w:szCs w:val="22"/>
        </w:rPr>
        <w:t xml:space="preserve"> Culture</w:t>
      </w:r>
    </w:p>
    <w:p w:rsidR="00925398" w:rsidRDefault="00925398" w:rsidP="00925398">
      <w:pPr>
        <w:pStyle w:val="ListParagraph"/>
        <w:numPr>
          <w:ilvl w:val="0"/>
          <w:numId w:val="1"/>
        </w:numPr>
        <w:spacing w:line="480" w:lineRule="auto"/>
        <w:jc w:val="both"/>
        <w:rPr>
          <w:rFonts w:asciiTheme="minorHAnsi" w:hAnsiTheme="minorHAnsi"/>
          <w:sz w:val="22"/>
          <w:szCs w:val="22"/>
        </w:rPr>
      </w:pPr>
      <w:r w:rsidRPr="00925398">
        <w:rPr>
          <w:rFonts w:asciiTheme="minorHAnsi" w:hAnsiTheme="minorHAnsi"/>
          <w:sz w:val="22"/>
          <w:szCs w:val="22"/>
        </w:rPr>
        <w:t xml:space="preserve">What is your first impression of the </w:t>
      </w:r>
      <w:proofErr w:type="spellStart"/>
      <w:r w:rsidRPr="00925398">
        <w:rPr>
          <w:rFonts w:asciiTheme="minorHAnsi" w:hAnsiTheme="minorHAnsi"/>
          <w:sz w:val="22"/>
          <w:szCs w:val="22"/>
        </w:rPr>
        <w:t>Nacirema</w:t>
      </w:r>
      <w:proofErr w:type="spellEnd"/>
      <w:r w:rsidRPr="00925398">
        <w:rPr>
          <w:rFonts w:asciiTheme="minorHAnsi" w:hAnsiTheme="minorHAnsi"/>
          <w:sz w:val="22"/>
          <w:szCs w:val="22"/>
        </w:rPr>
        <w:t>? Explain.</w:t>
      </w:r>
    </w:p>
    <w:p w:rsidR="00925398" w:rsidRDefault="00925398" w:rsidP="00925398">
      <w:pPr>
        <w:spacing w:line="480" w:lineRule="auto"/>
        <w:jc w:val="both"/>
        <w:rPr>
          <w:rFonts w:asciiTheme="minorHAnsi" w:hAnsiTheme="minorHAnsi"/>
          <w:sz w:val="22"/>
          <w:szCs w:val="22"/>
        </w:rPr>
      </w:pPr>
    </w:p>
    <w:p w:rsidR="00925398" w:rsidRDefault="00925398" w:rsidP="00925398">
      <w:pPr>
        <w:spacing w:line="480" w:lineRule="auto"/>
        <w:jc w:val="both"/>
        <w:rPr>
          <w:rFonts w:asciiTheme="minorHAnsi" w:hAnsiTheme="minorHAnsi"/>
          <w:sz w:val="22"/>
          <w:szCs w:val="22"/>
        </w:rPr>
      </w:pPr>
    </w:p>
    <w:p w:rsidR="00925398" w:rsidRPr="00925398" w:rsidRDefault="00925398" w:rsidP="00925398">
      <w:pPr>
        <w:spacing w:line="480" w:lineRule="auto"/>
        <w:jc w:val="both"/>
        <w:rPr>
          <w:rFonts w:asciiTheme="minorHAnsi" w:hAnsiTheme="minorHAnsi"/>
          <w:sz w:val="22"/>
          <w:szCs w:val="22"/>
        </w:rPr>
      </w:pPr>
    </w:p>
    <w:p w:rsidR="00925398" w:rsidRDefault="00925398" w:rsidP="00925398">
      <w:pPr>
        <w:pStyle w:val="ListParagraph"/>
        <w:numPr>
          <w:ilvl w:val="0"/>
          <w:numId w:val="1"/>
        </w:numPr>
        <w:spacing w:line="480" w:lineRule="auto"/>
        <w:jc w:val="both"/>
        <w:rPr>
          <w:rFonts w:asciiTheme="minorHAnsi" w:hAnsiTheme="minorHAnsi"/>
          <w:sz w:val="22"/>
          <w:szCs w:val="22"/>
        </w:rPr>
      </w:pPr>
      <w:r>
        <w:rPr>
          <w:rFonts w:asciiTheme="minorHAnsi" w:hAnsiTheme="minorHAnsi"/>
          <w:sz w:val="22"/>
          <w:szCs w:val="22"/>
        </w:rPr>
        <w:t>Complete the chart below. Include several bullet points in each column.</w:t>
      </w:r>
    </w:p>
    <w:tbl>
      <w:tblPr>
        <w:tblStyle w:val="TableGrid"/>
        <w:tblW w:w="0" w:type="auto"/>
        <w:tblCellMar>
          <w:left w:w="115" w:type="dxa"/>
          <w:right w:w="115" w:type="dxa"/>
        </w:tblCellMar>
        <w:tblLook w:val="04A0"/>
      </w:tblPr>
      <w:tblGrid>
        <w:gridCol w:w="2952"/>
        <w:gridCol w:w="2952"/>
        <w:gridCol w:w="2952"/>
      </w:tblGrid>
      <w:tr w:rsidR="00925398" w:rsidTr="00925398">
        <w:tc>
          <w:tcPr>
            <w:tcW w:w="2952" w:type="dxa"/>
          </w:tcPr>
          <w:p w:rsidR="00925398" w:rsidRDefault="00925398" w:rsidP="00925398">
            <w:pPr>
              <w:jc w:val="center"/>
              <w:rPr>
                <w:rFonts w:asciiTheme="minorHAnsi" w:hAnsiTheme="minorHAnsi"/>
                <w:sz w:val="22"/>
                <w:szCs w:val="22"/>
              </w:rPr>
            </w:pPr>
            <w:r>
              <w:rPr>
                <w:rFonts w:asciiTheme="minorHAnsi" w:hAnsiTheme="minorHAnsi"/>
                <w:sz w:val="22"/>
                <w:szCs w:val="22"/>
              </w:rPr>
              <w:t xml:space="preserve">What observations have these anthropologists made about the </w:t>
            </w:r>
            <w:proofErr w:type="spellStart"/>
            <w:r>
              <w:rPr>
                <w:rFonts w:asciiTheme="minorHAnsi" w:hAnsiTheme="minorHAnsi"/>
                <w:sz w:val="22"/>
                <w:szCs w:val="22"/>
              </w:rPr>
              <w:t>Nacirema</w:t>
            </w:r>
            <w:proofErr w:type="spellEnd"/>
            <w:r>
              <w:rPr>
                <w:rFonts w:asciiTheme="minorHAnsi" w:hAnsiTheme="minorHAnsi"/>
                <w:sz w:val="22"/>
                <w:szCs w:val="22"/>
              </w:rPr>
              <w:t xml:space="preserve"> culture?</w:t>
            </w:r>
          </w:p>
        </w:tc>
        <w:tc>
          <w:tcPr>
            <w:tcW w:w="2952" w:type="dxa"/>
          </w:tcPr>
          <w:p w:rsidR="00925398" w:rsidRDefault="00925398" w:rsidP="00925398">
            <w:pPr>
              <w:jc w:val="center"/>
              <w:rPr>
                <w:rFonts w:asciiTheme="minorHAnsi" w:hAnsiTheme="minorHAnsi"/>
                <w:sz w:val="22"/>
                <w:szCs w:val="22"/>
              </w:rPr>
            </w:pPr>
            <w:r>
              <w:rPr>
                <w:rFonts w:asciiTheme="minorHAnsi" w:hAnsiTheme="minorHAnsi"/>
                <w:sz w:val="22"/>
                <w:szCs w:val="22"/>
              </w:rPr>
              <w:t xml:space="preserve">What generalizations can be made about the </w:t>
            </w:r>
            <w:proofErr w:type="spellStart"/>
            <w:r>
              <w:rPr>
                <w:rFonts w:asciiTheme="minorHAnsi" w:hAnsiTheme="minorHAnsi"/>
                <w:sz w:val="22"/>
                <w:szCs w:val="22"/>
              </w:rPr>
              <w:t>Nacirema</w:t>
            </w:r>
            <w:proofErr w:type="spellEnd"/>
            <w:r>
              <w:rPr>
                <w:rFonts w:asciiTheme="minorHAnsi" w:hAnsiTheme="minorHAnsi"/>
                <w:sz w:val="22"/>
                <w:szCs w:val="22"/>
              </w:rPr>
              <w:t xml:space="preserve"> based on these observations?</w:t>
            </w:r>
          </w:p>
        </w:tc>
        <w:tc>
          <w:tcPr>
            <w:tcW w:w="2952" w:type="dxa"/>
          </w:tcPr>
          <w:p w:rsidR="00925398" w:rsidRDefault="00925398" w:rsidP="00925398">
            <w:pPr>
              <w:jc w:val="center"/>
              <w:rPr>
                <w:rFonts w:asciiTheme="minorHAnsi" w:hAnsiTheme="minorHAnsi"/>
                <w:sz w:val="22"/>
                <w:szCs w:val="22"/>
              </w:rPr>
            </w:pPr>
            <w:r>
              <w:rPr>
                <w:rFonts w:asciiTheme="minorHAnsi" w:hAnsiTheme="minorHAnsi"/>
                <w:sz w:val="22"/>
                <w:szCs w:val="22"/>
              </w:rPr>
              <w:t xml:space="preserve">How can you compare the </w:t>
            </w:r>
            <w:proofErr w:type="spellStart"/>
            <w:r>
              <w:rPr>
                <w:rFonts w:asciiTheme="minorHAnsi" w:hAnsiTheme="minorHAnsi"/>
                <w:sz w:val="22"/>
                <w:szCs w:val="22"/>
              </w:rPr>
              <w:t>Nacirema</w:t>
            </w:r>
            <w:proofErr w:type="spellEnd"/>
            <w:r>
              <w:rPr>
                <w:rFonts w:asciiTheme="minorHAnsi" w:hAnsiTheme="minorHAnsi"/>
                <w:sz w:val="22"/>
                <w:szCs w:val="22"/>
              </w:rPr>
              <w:t xml:space="preserve"> to the culture in which you live now?</w:t>
            </w:r>
          </w:p>
        </w:tc>
      </w:tr>
      <w:tr w:rsidR="00925398" w:rsidTr="00925398">
        <w:tc>
          <w:tcPr>
            <w:tcW w:w="2952" w:type="dxa"/>
          </w:tcPr>
          <w:p w:rsidR="00925398" w:rsidRDefault="00925398" w:rsidP="00925398">
            <w:pPr>
              <w:spacing w:line="480" w:lineRule="auto"/>
              <w:jc w:val="both"/>
              <w:rPr>
                <w:rFonts w:asciiTheme="minorHAnsi" w:hAnsiTheme="minorHAnsi"/>
                <w:sz w:val="22"/>
                <w:szCs w:val="22"/>
              </w:rPr>
            </w:pPr>
          </w:p>
        </w:tc>
        <w:tc>
          <w:tcPr>
            <w:tcW w:w="2952" w:type="dxa"/>
          </w:tcPr>
          <w:p w:rsidR="00925398" w:rsidRDefault="00925398" w:rsidP="00925398">
            <w:pPr>
              <w:spacing w:line="480" w:lineRule="auto"/>
              <w:jc w:val="both"/>
              <w:rPr>
                <w:rFonts w:asciiTheme="minorHAnsi" w:hAnsiTheme="minorHAnsi"/>
                <w:sz w:val="22"/>
                <w:szCs w:val="22"/>
              </w:rPr>
            </w:pPr>
          </w:p>
          <w:p w:rsidR="00925398" w:rsidRDefault="00925398" w:rsidP="00925398">
            <w:pPr>
              <w:spacing w:line="480" w:lineRule="auto"/>
              <w:jc w:val="both"/>
              <w:rPr>
                <w:rFonts w:asciiTheme="minorHAnsi" w:hAnsiTheme="minorHAnsi"/>
                <w:sz w:val="22"/>
                <w:szCs w:val="22"/>
              </w:rPr>
            </w:pPr>
          </w:p>
          <w:p w:rsidR="00925398" w:rsidRDefault="00925398" w:rsidP="00925398">
            <w:pPr>
              <w:spacing w:line="480" w:lineRule="auto"/>
              <w:jc w:val="both"/>
              <w:rPr>
                <w:rFonts w:asciiTheme="minorHAnsi" w:hAnsiTheme="minorHAnsi"/>
                <w:sz w:val="22"/>
                <w:szCs w:val="22"/>
              </w:rPr>
            </w:pPr>
          </w:p>
          <w:p w:rsidR="00925398" w:rsidRDefault="00925398" w:rsidP="00925398">
            <w:pPr>
              <w:spacing w:line="480" w:lineRule="auto"/>
              <w:jc w:val="both"/>
              <w:rPr>
                <w:rFonts w:asciiTheme="minorHAnsi" w:hAnsiTheme="minorHAnsi"/>
                <w:sz w:val="22"/>
                <w:szCs w:val="22"/>
              </w:rPr>
            </w:pPr>
          </w:p>
          <w:p w:rsidR="00925398" w:rsidRDefault="00925398" w:rsidP="00925398">
            <w:pPr>
              <w:spacing w:line="480" w:lineRule="auto"/>
              <w:jc w:val="both"/>
              <w:rPr>
                <w:rFonts w:asciiTheme="minorHAnsi" w:hAnsiTheme="minorHAnsi"/>
                <w:sz w:val="22"/>
                <w:szCs w:val="22"/>
              </w:rPr>
            </w:pPr>
          </w:p>
          <w:p w:rsidR="00925398" w:rsidRDefault="00925398" w:rsidP="00925398">
            <w:pPr>
              <w:spacing w:line="480" w:lineRule="auto"/>
              <w:jc w:val="both"/>
              <w:rPr>
                <w:rFonts w:asciiTheme="minorHAnsi" w:hAnsiTheme="minorHAnsi"/>
                <w:sz w:val="22"/>
                <w:szCs w:val="22"/>
              </w:rPr>
            </w:pPr>
          </w:p>
          <w:p w:rsidR="00925398" w:rsidRDefault="00925398" w:rsidP="00925398">
            <w:pPr>
              <w:spacing w:line="480" w:lineRule="auto"/>
              <w:jc w:val="both"/>
              <w:rPr>
                <w:rFonts w:asciiTheme="minorHAnsi" w:hAnsiTheme="minorHAnsi"/>
                <w:sz w:val="22"/>
                <w:szCs w:val="22"/>
              </w:rPr>
            </w:pPr>
          </w:p>
          <w:p w:rsidR="00925398" w:rsidRDefault="00925398" w:rsidP="00925398">
            <w:pPr>
              <w:spacing w:line="480" w:lineRule="auto"/>
              <w:jc w:val="both"/>
              <w:rPr>
                <w:rFonts w:asciiTheme="minorHAnsi" w:hAnsiTheme="minorHAnsi"/>
                <w:sz w:val="22"/>
                <w:szCs w:val="22"/>
              </w:rPr>
            </w:pPr>
          </w:p>
          <w:p w:rsidR="00925398" w:rsidRDefault="00925398" w:rsidP="00925398">
            <w:pPr>
              <w:spacing w:line="480" w:lineRule="auto"/>
              <w:jc w:val="both"/>
              <w:rPr>
                <w:rFonts w:asciiTheme="minorHAnsi" w:hAnsiTheme="minorHAnsi"/>
                <w:sz w:val="22"/>
                <w:szCs w:val="22"/>
              </w:rPr>
            </w:pPr>
          </w:p>
          <w:p w:rsidR="00925398" w:rsidRDefault="00925398" w:rsidP="00925398">
            <w:pPr>
              <w:spacing w:line="480" w:lineRule="auto"/>
              <w:jc w:val="both"/>
              <w:rPr>
                <w:rFonts w:asciiTheme="minorHAnsi" w:hAnsiTheme="minorHAnsi"/>
                <w:sz w:val="22"/>
                <w:szCs w:val="22"/>
              </w:rPr>
            </w:pPr>
          </w:p>
          <w:p w:rsidR="00925398" w:rsidRDefault="00925398" w:rsidP="00925398">
            <w:pPr>
              <w:spacing w:line="480" w:lineRule="auto"/>
              <w:jc w:val="both"/>
              <w:rPr>
                <w:rFonts w:asciiTheme="minorHAnsi" w:hAnsiTheme="minorHAnsi"/>
                <w:sz w:val="22"/>
                <w:szCs w:val="22"/>
              </w:rPr>
            </w:pPr>
          </w:p>
          <w:p w:rsidR="00925398" w:rsidRDefault="00925398" w:rsidP="00925398">
            <w:pPr>
              <w:spacing w:line="480" w:lineRule="auto"/>
              <w:jc w:val="both"/>
              <w:rPr>
                <w:rFonts w:asciiTheme="minorHAnsi" w:hAnsiTheme="minorHAnsi"/>
                <w:sz w:val="22"/>
                <w:szCs w:val="22"/>
              </w:rPr>
            </w:pPr>
          </w:p>
        </w:tc>
        <w:tc>
          <w:tcPr>
            <w:tcW w:w="2952" w:type="dxa"/>
          </w:tcPr>
          <w:p w:rsidR="00925398" w:rsidRDefault="00925398" w:rsidP="00925398">
            <w:pPr>
              <w:spacing w:line="480" w:lineRule="auto"/>
              <w:jc w:val="both"/>
              <w:rPr>
                <w:rFonts w:asciiTheme="minorHAnsi" w:hAnsiTheme="minorHAnsi"/>
                <w:sz w:val="22"/>
                <w:szCs w:val="22"/>
              </w:rPr>
            </w:pPr>
          </w:p>
        </w:tc>
      </w:tr>
    </w:tbl>
    <w:p w:rsidR="00925398" w:rsidRDefault="00925398" w:rsidP="00925398">
      <w:pPr>
        <w:spacing w:line="480" w:lineRule="auto"/>
        <w:jc w:val="both"/>
        <w:rPr>
          <w:rFonts w:asciiTheme="minorHAnsi" w:hAnsiTheme="minorHAnsi"/>
          <w:sz w:val="22"/>
          <w:szCs w:val="22"/>
        </w:rPr>
      </w:pPr>
    </w:p>
    <w:p w:rsidR="00925398" w:rsidRPr="00925398" w:rsidRDefault="00925398" w:rsidP="00925398">
      <w:pPr>
        <w:pStyle w:val="ListParagraph"/>
        <w:numPr>
          <w:ilvl w:val="0"/>
          <w:numId w:val="1"/>
        </w:numPr>
        <w:spacing w:line="480" w:lineRule="auto"/>
        <w:jc w:val="both"/>
        <w:rPr>
          <w:rFonts w:asciiTheme="minorHAnsi" w:hAnsiTheme="minorHAnsi"/>
          <w:sz w:val="22"/>
          <w:szCs w:val="22"/>
        </w:rPr>
      </w:pPr>
      <w:r>
        <w:rPr>
          <w:rFonts w:asciiTheme="minorHAnsi" w:hAnsiTheme="minorHAnsi"/>
          <w:sz w:val="22"/>
          <w:szCs w:val="22"/>
        </w:rPr>
        <w:t>What was the author’s purpose in writing this article?</w:t>
      </w:r>
    </w:p>
    <w:sectPr w:rsidR="00925398" w:rsidRPr="0092539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45A4E"/>
    <w:multiLevelType w:val="hybridMultilevel"/>
    <w:tmpl w:val="EDC4228C"/>
    <w:lvl w:ilvl="0" w:tplc="7934235C">
      <w:start w:val="1"/>
      <w:numFmt w:val="decimal"/>
      <w:lvlText w:val="%1."/>
      <w:lvlJc w:val="left"/>
      <w:pPr>
        <w:ind w:left="-360" w:hanging="360"/>
      </w:pPr>
      <w:rPr>
        <w:rFonts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noPunctuationKerning/>
  <w:characterSpacingControl w:val="doNotCompress"/>
  <w:compat/>
  <w:rsids>
    <w:rsidRoot w:val="00F56E59"/>
    <w:rsid w:val="00925398"/>
    <w:rsid w:val="00F56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firstLine="720"/>
    </w:pPr>
    <w:rPr>
      <w:sz w:val="22"/>
    </w:rPr>
  </w:style>
  <w:style w:type="paragraph" w:styleId="BodyTextIndent2">
    <w:name w:val="Body Text Indent 2"/>
    <w:basedOn w:val="Normal"/>
    <w:semiHidden/>
    <w:pPr>
      <w:spacing w:line="480" w:lineRule="auto"/>
      <w:ind w:firstLine="720"/>
      <w:jc w:val="both"/>
    </w:pPr>
    <w:rPr>
      <w:sz w:val="22"/>
    </w:rPr>
  </w:style>
  <w:style w:type="paragraph" w:styleId="ListParagraph">
    <w:name w:val="List Paragraph"/>
    <w:basedOn w:val="Normal"/>
    <w:uiPriority w:val="34"/>
    <w:qFormat/>
    <w:rsid w:val="00925398"/>
    <w:pPr>
      <w:ind w:left="720"/>
      <w:contextualSpacing/>
    </w:pPr>
  </w:style>
  <w:style w:type="table" w:styleId="TableGrid">
    <w:name w:val="Table Grid"/>
    <w:basedOn w:val="TableNormal"/>
    <w:uiPriority w:val="59"/>
    <w:rsid w:val="00925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From “Body Rituals Among the Nacirema” by Horace Miner</vt:lpstr>
    </vt:vector>
  </TitlesOfParts>
  <Company>Wake County Schools</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“Body Rituals Among the Nacirema” by Horace Miner</dc:title>
  <dc:subject/>
  <dc:creator>WCPSS WCPSS</dc:creator>
  <cp:keywords/>
  <dc:description/>
  <cp:lastModifiedBy>nmosley</cp:lastModifiedBy>
  <cp:revision>2</cp:revision>
  <dcterms:created xsi:type="dcterms:W3CDTF">2012-08-13T18:16:00Z</dcterms:created>
  <dcterms:modified xsi:type="dcterms:W3CDTF">2012-08-13T18:16:00Z</dcterms:modified>
</cp:coreProperties>
</file>